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0"/>
          <w:szCs w:val="44"/>
        </w:rPr>
      </w:pPr>
      <w:r>
        <w:rPr>
          <w:rFonts w:hint="eastAsia" w:ascii="方正小标宋简体" w:eastAsia="方正小标宋简体"/>
          <w:sz w:val="40"/>
          <w:szCs w:val="44"/>
        </w:rPr>
        <w:t>关于芒康县电子商务进农村综合示范项目部分电子商务服务站的变更说明</w:t>
      </w:r>
    </w:p>
    <w:p>
      <w:pPr>
        <w:jc w:val="center"/>
        <w:rPr>
          <w:rFonts w:hint="eastAsia"/>
          <w:sz w:val="28"/>
        </w:rPr>
      </w:pPr>
    </w:p>
    <w:p>
      <w:pPr>
        <w:ind w:firstLine="640" w:firstLineChars="200"/>
        <w:rPr>
          <w:rFonts w:ascii="仿宋" w:hAnsi="仿宋" w:cs="宋体"/>
          <w:color w:val="000000"/>
          <w:szCs w:val="32"/>
        </w:rPr>
      </w:pPr>
      <w:r>
        <w:rPr>
          <w:rFonts w:hint="eastAsia"/>
        </w:rPr>
        <w:t>芒康县电子商务进农村综合示范项目中</w:t>
      </w:r>
      <w:r>
        <w:rPr>
          <w:rFonts w:hint="eastAsia" w:ascii="仿宋" w:hAnsi="仿宋" w:cs="宋体"/>
          <w:color w:val="000000"/>
          <w:szCs w:val="32"/>
        </w:rPr>
        <w:t>农村电子商务服务站体系</w:t>
      </w:r>
      <w:r>
        <w:rPr>
          <w:rFonts w:hint="eastAsia" w:ascii="仿宋" w:hAnsi="仿宋" w:cs="宋体"/>
          <w:color w:val="000000"/>
          <w:szCs w:val="32"/>
        </w:rPr>
        <w:t>经过实际实施中发现，由于整体搬迁和宽带网络无法接通的原因导致不能正常建设，</w:t>
      </w:r>
      <w:r>
        <w:rPr>
          <w:rFonts w:hint="eastAsia" w:ascii="仿宋" w:hAnsi="仿宋" w:cs="宋体"/>
          <w:color w:val="000000"/>
          <w:szCs w:val="32"/>
        </w:rPr>
        <w:t>遂选择</w:t>
      </w:r>
      <w:r>
        <w:rPr>
          <w:rFonts w:hint="eastAsia" w:ascii="仿宋" w:hAnsi="仿宋" w:cs="宋体"/>
          <w:color w:val="000000"/>
          <w:szCs w:val="32"/>
        </w:rPr>
        <w:t>条件具备的村进行替换，具体替换明细如下：</w:t>
      </w:r>
    </w:p>
    <w:p>
      <w:pPr>
        <w:ind w:firstLine="640" w:firstLineChars="200"/>
        <w:rPr>
          <w:rFonts w:hint="eastAsia" w:ascii="仿宋" w:hAnsi="仿宋" w:cs="宋体"/>
          <w:color w:val="000000"/>
          <w:szCs w:val="32"/>
        </w:rPr>
      </w:pPr>
    </w:p>
    <w:tbl>
      <w:tblPr>
        <w:tblStyle w:val="5"/>
        <w:tblW w:w="8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008"/>
        <w:gridCol w:w="3095"/>
        <w:gridCol w:w="1589"/>
      </w:tblGrid>
      <w:tr>
        <w:trPr>
          <w:trHeight w:val="584" w:hRule="atLeast"/>
          <w:jc w:val="center"/>
        </w:trPr>
        <w:tc>
          <w:tcPr>
            <w:tcW w:w="1413" w:type="dxa"/>
          </w:tcPr>
          <w:p>
            <w:pPr>
              <w:jc w:val="center"/>
              <w:rPr>
                <w:rFonts w:hint="eastAsia" w:ascii="仿宋" w:hAnsi="仿宋" w:cs="宋体"/>
                <w:color w:val="000000"/>
                <w:sz w:val="24"/>
                <w:szCs w:val="32"/>
              </w:rPr>
            </w:pPr>
            <w:r>
              <w:rPr>
                <w:rFonts w:hint="eastAsia" w:ascii="仿宋" w:hAnsi="仿宋" w:cs="宋体"/>
                <w:color w:val="000000"/>
                <w:sz w:val="24"/>
                <w:szCs w:val="32"/>
              </w:rPr>
              <w:t>原计划服务站</w:t>
            </w:r>
          </w:p>
        </w:tc>
        <w:tc>
          <w:tcPr>
            <w:tcW w:w="2008" w:type="dxa"/>
          </w:tcPr>
          <w:p>
            <w:pPr>
              <w:jc w:val="center"/>
              <w:rPr>
                <w:rFonts w:hint="eastAsia" w:ascii="仿宋" w:hAnsi="仿宋" w:cs="宋体"/>
                <w:color w:val="000000"/>
                <w:sz w:val="24"/>
                <w:szCs w:val="32"/>
              </w:rPr>
            </w:pPr>
            <w:r>
              <w:rPr>
                <w:rFonts w:hint="eastAsia" w:ascii="仿宋" w:hAnsi="仿宋" w:cs="宋体"/>
                <w:color w:val="000000"/>
                <w:sz w:val="24"/>
                <w:szCs w:val="32"/>
              </w:rPr>
              <w:t>新服务站</w:t>
            </w:r>
          </w:p>
        </w:tc>
        <w:tc>
          <w:tcPr>
            <w:tcW w:w="3095" w:type="dxa"/>
          </w:tcPr>
          <w:p>
            <w:pPr>
              <w:jc w:val="center"/>
              <w:rPr>
                <w:rFonts w:hint="eastAsia" w:ascii="仿宋" w:hAnsi="仿宋" w:cs="宋体"/>
                <w:color w:val="000000"/>
                <w:sz w:val="24"/>
                <w:szCs w:val="32"/>
              </w:rPr>
            </w:pPr>
            <w:r>
              <w:rPr>
                <w:rFonts w:hint="eastAsia" w:ascii="仿宋" w:hAnsi="仿宋" w:cs="宋体"/>
                <w:color w:val="000000"/>
                <w:sz w:val="24"/>
                <w:szCs w:val="32"/>
              </w:rPr>
              <w:t>替换原因</w:t>
            </w:r>
          </w:p>
        </w:tc>
        <w:tc>
          <w:tcPr>
            <w:tcW w:w="1589" w:type="dxa"/>
          </w:tcPr>
          <w:p>
            <w:pPr>
              <w:jc w:val="center"/>
              <w:rPr>
                <w:rFonts w:hint="eastAsia" w:ascii="仿宋" w:hAnsi="仿宋" w:cs="宋体"/>
                <w:color w:val="000000"/>
                <w:sz w:val="24"/>
                <w:szCs w:val="32"/>
              </w:rPr>
            </w:pPr>
            <w:r>
              <w:rPr>
                <w:rFonts w:hint="eastAsia" w:ascii="仿宋" w:hAnsi="仿宋" w:cs="宋体"/>
                <w:color w:val="000000"/>
                <w:sz w:val="24"/>
                <w:szCs w:val="32"/>
              </w:rPr>
              <w:t>是否正常投入使用</w:t>
            </w:r>
          </w:p>
        </w:tc>
      </w:tr>
      <w:tr>
        <w:tblPrEx>
          <w:tblLayout w:type="fixed"/>
        </w:tblPrEx>
        <w:trPr>
          <w:trHeight w:val="1189" w:hRule="atLeast"/>
          <w:jc w:val="center"/>
        </w:trPr>
        <w:tc>
          <w:tcPr>
            <w:tcW w:w="1413"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戈波乡电商服务站</w:t>
            </w:r>
          </w:p>
        </w:tc>
        <w:tc>
          <w:tcPr>
            <w:tcW w:w="2008"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宗荣村海</w:t>
            </w:r>
            <w:r>
              <w:rPr>
                <w:rFonts w:hint="eastAsia" w:ascii="仿宋" w:hAnsi="仿宋" w:cs="宋体"/>
                <w:color w:val="000000"/>
                <w:sz w:val="24"/>
                <w:szCs w:val="32"/>
              </w:rPr>
              <w:t>通电商</w:t>
            </w:r>
            <w:r>
              <w:rPr>
                <w:rFonts w:hint="eastAsia" w:ascii="仿宋" w:hAnsi="仿宋" w:cs="宋体"/>
                <w:color w:val="000000"/>
                <w:sz w:val="24"/>
                <w:szCs w:val="32"/>
              </w:rPr>
              <w:t>服务站</w:t>
            </w:r>
          </w:p>
        </w:tc>
        <w:tc>
          <w:tcPr>
            <w:tcW w:w="3095" w:type="dxa"/>
          </w:tcPr>
          <w:p>
            <w:pPr>
              <w:jc w:val="center"/>
              <w:rPr>
                <w:rFonts w:ascii="仿宋" w:hAnsi="仿宋" w:cs="宋体"/>
                <w:color w:val="000000"/>
                <w:sz w:val="24"/>
                <w:szCs w:val="32"/>
              </w:rPr>
            </w:pPr>
            <w:r>
              <w:rPr>
                <w:rFonts w:hint="eastAsia" w:ascii="仿宋" w:hAnsi="仿宋" w:cs="宋体"/>
                <w:color w:val="000000"/>
                <w:sz w:val="24"/>
                <w:szCs w:val="32"/>
              </w:rPr>
              <w:t>戈波乡整体搬迁</w:t>
            </w:r>
            <w:r>
              <w:rPr>
                <w:rFonts w:hint="eastAsia" w:ascii="仿宋" w:hAnsi="仿宋" w:cs="宋体"/>
                <w:color w:val="000000"/>
                <w:sz w:val="24"/>
                <w:szCs w:val="32"/>
              </w:rPr>
              <w:t>。</w:t>
            </w:r>
          </w:p>
          <w:p>
            <w:pPr>
              <w:jc w:val="center"/>
              <w:rPr>
                <w:rFonts w:hint="eastAsia" w:ascii="仿宋" w:hAnsi="仿宋" w:cs="宋体"/>
                <w:color w:val="000000"/>
                <w:sz w:val="24"/>
                <w:szCs w:val="32"/>
              </w:rPr>
            </w:pPr>
            <w:r>
              <w:rPr>
                <w:rFonts w:hint="eastAsia" w:ascii="仿宋" w:hAnsi="仿宋" w:cs="宋体"/>
                <w:color w:val="000000"/>
                <w:sz w:val="24"/>
                <w:szCs w:val="32"/>
              </w:rPr>
              <w:t>海</w:t>
            </w:r>
            <w:r>
              <w:rPr>
                <w:rFonts w:hint="eastAsia" w:ascii="仿宋" w:hAnsi="仿宋" w:cs="宋体"/>
                <w:color w:val="000000"/>
                <w:sz w:val="24"/>
                <w:szCs w:val="32"/>
              </w:rPr>
              <w:t>通位于</w:t>
            </w:r>
            <w:r>
              <w:rPr>
                <w:rFonts w:hint="eastAsia" w:ascii="仿宋" w:hAnsi="仿宋" w:cs="宋体"/>
                <w:color w:val="000000"/>
                <w:sz w:val="24"/>
                <w:szCs w:val="32"/>
              </w:rPr>
              <w:t>3</w:t>
            </w:r>
            <w:r>
              <w:rPr>
                <w:rFonts w:ascii="仿宋" w:hAnsi="仿宋" w:cs="宋体"/>
                <w:color w:val="000000"/>
                <w:sz w:val="24"/>
                <w:szCs w:val="32"/>
              </w:rPr>
              <w:t>18</w:t>
            </w:r>
            <w:r>
              <w:rPr>
                <w:rFonts w:hint="eastAsia" w:ascii="仿宋" w:hAnsi="仿宋" w:cs="宋体"/>
                <w:color w:val="000000"/>
                <w:sz w:val="24"/>
                <w:szCs w:val="32"/>
              </w:rPr>
              <w:t>国道，林下资源丰富，具有大型工厂，人流集中。</w:t>
            </w:r>
          </w:p>
        </w:tc>
        <w:tc>
          <w:tcPr>
            <w:tcW w:w="1589"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是</w:t>
            </w:r>
          </w:p>
        </w:tc>
      </w:tr>
      <w:tr>
        <w:trPr>
          <w:trHeight w:val="1218" w:hRule="atLeast"/>
          <w:jc w:val="center"/>
        </w:trPr>
        <w:tc>
          <w:tcPr>
            <w:tcW w:w="1413"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加达村电商服务站</w:t>
            </w:r>
          </w:p>
        </w:tc>
        <w:tc>
          <w:tcPr>
            <w:tcW w:w="2008"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拉乌村电商服务站</w:t>
            </w:r>
          </w:p>
        </w:tc>
        <w:tc>
          <w:tcPr>
            <w:tcW w:w="3095" w:type="dxa"/>
          </w:tcPr>
          <w:p>
            <w:pPr>
              <w:jc w:val="center"/>
              <w:rPr>
                <w:rFonts w:hint="eastAsia" w:ascii="仿宋" w:hAnsi="仿宋" w:cs="宋体"/>
                <w:color w:val="000000"/>
                <w:sz w:val="24"/>
                <w:szCs w:val="32"/>
              </w:rPr>
            </w:pPr>
            <w:r>
              <w:rPr>
                <w:rFonts w:hint="eastAsia" w:ascii="仿宋" w:hAnsi="仿宋" w:cs="宋体"/>
                <w:color w:val="000000"/>
                <w:sz w:val="24"/>
                <w:szCs w:val="32"/>
              </w:rPr>
              <w:t>加达村宽带资源缺乏，无法接通网络</w:t>
            </w:r>
            <w:r>
              <w:rPr>
                <w:rFonts w:hint="eastAsia" w:ascii="仿宋" w:hAnsi="仿宋" w:cs="宋体"/>
                <w:color w:val="000000"/>
                <w:sz w:val="24"/>
                <w:szCs w:val="32"/>
              </w:rPr>
              <w:t>。拉乌村位于3</w:t>
            </w:r>
            <w:r>
              <w:rPr>
                <w:rFonts w:ascii="仿宋" w:hAnsi="仿宋" w:cs="宋体"/>
                <w:color w:val="000000"/>
                <w:sz w:val="24"/>
                <w:szCs w:val="32"/>
              </w:rPr>
              <w:t>18</w:t>
            </w:r>
            <w:r>
              <w:rPr>
                <w:rFonts w:hint="eastAsia" w:ascii="仿宋" w:hAnsi="仿宋" w:cs="宋体"/>
                <w:color w:val="000000"/>
                <w:sz w:val="24"/>
                <w:szCs w:val="32"/>
              </w:rPr>
              <w:t>国道，林下资源丰富。</w:t>
            </w:r>
          </w:p>
        </w:tc>
        <w:tc>
          <w:tcPr>
            <w:tcW w:w="1589" w:type="dxa"/>
          </w:tcPr>
          <w:p>
            <w:pPr>
              <w:jc w:val="center"/>
              <w:rPr>
                <w:rFonts w:ascii="仿宋" w:hAnsi="仿宋" w:cs="宋体"/>
                <w:color w:val="000000"/>
                <w:sz w:val="24"/>
                <w:szCs w:val="32"/>
              </w:rPr>
            </w:pPr>
          </w:p>
          <w:p>
            <w:pPr>
              <w:jc w:val="center"/>
              <w:rPr>
                <w:rFonts w:hint="eastAsia" w:ascii="仿宋" w:hAnsi="仿宋" w:cs="宋体"/>
                <w:color w:val="000000"/>
                <w:sz w:val="24"/>
                <w:szCs w:val="32"/>
              </w:rPr>
            </w:pPr>
            <w:r>
              <w:rPr>
                <w:rFonts w:hint="eastAsia" w:ascii="仿宋" w:hAnsi="仿宋" w:cs="宋体"/>
                <w:color w:val="000000"/>
                <w:sz w:val="24"/>
                <w:szCs w:val="32"/>
              </w:rPr>
              <w:t>是</w:t>
            </w:r>
          </w:p>
        </w:tc>
      </w:tr>
    </w:tbl>
    <w:p>
      <w:pPr/>
    </w:p>
    <w:p>
      <w:pPr/>
    </w:p>
    <w:p>
      <w:pPr>
        <w:rPr>
          <w:rFonts w:hint="eastAsia"/>
          <w:lang w:eastAsia="zh-CN"/>
        </w:rPr>
      </w:pPr>
      <w:r>
        <w:rPr>
          <w:rFonts w:hint="eastAsia"/>
          <w:lang w:eastAsia="zh-CN"/>
        </w:rPr>
        <w:t xml:space="preserve">                                     芒康县发改委</w:t>
      </w:r>
    </w:p>
    <w:p>
      <w:pPr>
        <w:rPr>
          <w:rFonts w:hint="eastAsia"/>
        </w:rPr>
      </w:pPr>
      <w:r>
        <w:rPr>
          <w:rFonts w:hint="eastAsia"/>
          <w:lang w:eastAsia="zh-CN"/>
        </w:rPr>
        <w:t xml:space="preserve">                                   </w:t>
      </w:r>
      <w:bookmarkStart w:id="0" w:name="_GoBack"/>
      <w:bookmarkEnd w:id="0"/>
      <w:r>
        <w:rPr>
          <w:rFonts w:hint="eastAsia"/>
        </w:rPr>
        <w:t>2</w:t>
      </w:r>
      <w:r>
        <w:t>018</w:t>
      </w:r>
      <w:r>
        <w:rPr>
          <w:rFonts w:hint="eastAsia"/>
        </w:rPr>
        <w:t>年</w:t>
      </w:r>
      <w:r>
        <w:rPr>
          <w:rFonts w:hint="eastAsia"/>
          <w:lang w:eastAsia="zh-CN"/>
        </w:rPr>
        <w:t>8月29日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DengXian"/>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0" w:usb1="00000000" w:usb2="00000010" w:usb3="00000000" w:csb0="00040000" w:csb1="00000000"/>
  </w:font>
  <w:font w:name="等线 Light">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6"/>
    <w:qFormat/>
    <w:uiPriority w:val="9"/>
    <w:pPr>
      <w:keepNext/>
      <w:keepLines/>
      <w:spacing w:before="340" w:after="330" w:line="578" w:lineRule="auto"/>
      <w:jc w:val="center"/>
      <w:outlineLvl w:val="0"/>
    </w:pPr>
    <w:rPr>
      <w:rFonts w:eastAsia="方正小标宋简体"/>
      <w:bCs/>
      <w:kern w:val="44"/>
      <w:sz w:val="44"/>
      <w:szCs w:val="44"/>
    </w:rPr>
  </w:style>
  <w:style w:type="character" w:default="1" w:styleId="3">
    <w:name w:val="Default Paragraph Font"/>
    <w:unhideWhenUsed/>
    <w:qFormat/>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标题 1 字符"/>
    <w:basedOn w:val="3"/>
    <w:link w:val="2"/>
    <w:qFormat/>
    <w:uiPriority w:val="9"/>
    <w:rPr>
      <w:rFonts w:eastAsia="方正小标宋简体"/>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Words>
  <Characters>243</Characters>
  <Lines>2</Lines>
  <Paragraphs>1</Paragraphs>
  <TotalTime>0</TotalTime>
  <ScaleCrop>false</ScaleCrop>
  <LinksUpToDate>false</LinksUpToDate>
  <CharactersWithSpaces>284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2018-06-14T10:20:00Z</dcterms:created>
  <dc:creator>.L</dc:creator>
  <cp:lastModifiedBy>.L</cp:lastModifiedBy>
  <dcterms:modified xsi:type="dcterms:W3CDTF">2018-08-30T16:11:00Z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